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Ovanåker kommunfullmäktige</w:t>
      </w:r>
    </w:p>
    <w:p>
      <w:pPr>
        <w:pStyle w:val="Heading1"/>
      </w:pPr>
      <w:r>
        <w:t xml:space="preserve">Fler trygghetskameror i Edsbyn och Alfta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Ovanåker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Ovanåker har låg men ökande brottslighet enligt Brå 2023, särskilt ungdomsrelaterad otrygghet i centrala Edsbyn och Alfta. Kommunen saknar systematisk kamerabevakning vilket försvårar brottsförebyggande arbete. Polisen har efterfrågat bättre tekniskt stöd.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Ovanåker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Ovanåker kommun inför trygghetskameror på strategiska platser i Edsbyn och Alfta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kartläggning av brottsutsatta områden genomförs i samverkan med Polisen.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kameror kopplas till kommunens trygghetsarbete och utvärderas efter ett år.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kostnaden finansieras inom befintlig budget för brottsförebyggande åtgärder.</w:t>
      </w:r>
    </w:p>
    <w:p>
      <w:pPr>
        <w:spacing w:before="360"/>
      </w:pPr>
    </w:p>
    <w:p>
      <w:r>
        <w:t xml:space="preserve">Ovanåker,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Ovanåker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2026-06-06T01:48:29.181Z</dcterms:created>
  <dcterms:modified xsi:type="dcterms:W3CDTF">2026-06-06T01:48:29.181Z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